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9" w:rsidRPr="00C7160D" w:rsidRDefault="00D10879" w:rsidP="00C7160D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UGOSTITELJSKO – TURISTIČKO  UČILIŠTE </w:t>
      </w:r>
    </w:p>
    <w:p w:rsidR="00D10879" w:rsidRPr="00C7160D" w:rsidRDefault="00D10879" w:rsidP="00C7160D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ZAGREB,  </w:t>
      </w:r>
      <w:proofErr w:type="spellStart"/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Kombolova</w:t>
      </w:r>
      <w:proofErr w:type="spellEnd"/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2 a</w:t>
      </w:r>
    </w:p>
    <w:p w:rsidR="00C7160D" w:rsidRPr="00C7160D" w:rsidRDefault="00D10879" w:rsidP="00C7160D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TEME ZA ZAVRŠNI  </w:t>
      </w:r>
      <w:r w:rsidR="009C5D3B"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RAD</w:t>
      </w: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 IZ   UGOSTITELJSKOG POSLUŽIVANJA   </w:t>
      </w:r>
      <w:r w:rsidR="00C7160D"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ZA   KONOBARE</w:t>
      </w:r>
    </w:p>
    <w:p w:rsidR="00D10879" w:rsidRPr="00C7160D" w:rsidRDefault="00D10879" w:rsidP="00C7160D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šk.god.201</w:t>
      </w:r>
      <w:r w:rsidR="00C27F33"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8</w:t>
      </w: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./201</w:t>
      </w:r>
      <w:r w:rsidR="00C27F33"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9</w:t>
      </w:r>
      <w:r w:rsidRPr="00C7160D"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Ugostiteljski objekti koji pružaju usluge smještaja, prehrane, točenja pića i  napitaka</w:t>
      </w:r>
    </w:p>
    <w:p w:rsidR="00D10879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Ugostiteljski objekti koji pružaju usluge prehrane, točenja pića i napitaka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zajutraka preko bife stola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Poslovanje  pansionskog  restorana  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Poslovanje    ,,á 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la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carte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”   restorana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6.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Poslovanje  </w:t>
      </w:r>
      <w:proofErr w:type="spellStart"/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catering</w:t>
      </w:r>
      <w:proofErr w:type="spellEnd"/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–a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7.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Pisana  sredstva  ponude  jela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8.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hladnih predjela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9.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kavijara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10.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Posluživanje kamenica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11.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Vrste i posluživanje juha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12.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toplih predjela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13.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jela od riba, rakova, školjki, mekušaca</w:t>
      </w:r>
    </w:p>
    <w:p w:rsidR="00D10879" w:rsidRPr="00C7160D" w:rsidRDefault="00C27F33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14.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gotovih jela mesa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15.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jela  po narudžbi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16.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slatkih jela i deserta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17.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Izrada vinske karte</w:t>
      </w:r>
    </w:p>
    <w:p w:rsidR="00D10879" w:rsidRPr="00C7160D" w:rsidRDefault="00C27F33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lastRenderedPageBreak/>
        <w:t>18.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voćnih rakija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19.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Posluživanje bijelih  vina 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20.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crnih  vina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21.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pjenušavih  vina</w:t>
      </w:r>
    </w:p>
    <w:p w:rsidR="00D10879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22.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Pripremanje i posluživanje toplih napitaka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23.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Barovi  čije  su  osnovne  usluge   pića  i  napici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24.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Barovi  čije  su  osnovne  usluge   pića  i  napici  i  zabava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25.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Poslovanje 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disco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bara</w:t>
      </w:r>
    </w:p>
    <w:p w:rsidR="00D10879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26.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Poslovanje  kabaret  bara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27.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Izrada barske karte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28.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Pripremanje barskih mješavina gradnjom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29.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Pripremanje barskih mješavina u barskoj čaši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30.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C27F3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Pripremanje barskih mješavina u ručnom mješaču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31.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 barskih mješavina u električnom mješaču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32.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Pripremanje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smutija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33.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Ukrašavanje barskih mješavina</w:t>
      </w:r>
    </w:p>
    <w:p w:rsidR="00D10879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34.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Organizacija i posluživanje jednostavne koktel </w:t>
      </w:r>
      <w:proofErr w:type="spellStart"/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party</w:t>
      </w:r>
      <w:proofErr w:type="spellEnd"/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između glavnih dnevnih  obroka  (za 160 osoba)  </w:t>
      </w:r>
    </w:p>
    <w:p w:rsidR="00D10879" w:rsidRPr="00C7160D" w:rsidRDefault="00D10879" w:rsidP="00B11386">
      <w:pPr>
        <w:spacing w:line="276" w:lineRule="auto"/>
        <w:ind w:left="705" w:hanging="705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35.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jednostavne koktel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party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</w:t>
      </w:r>
      <w:r w:rsidR="009C5D3B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povodom promocije diplome (kod naručitelja - za 80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lastRenderedPageBreak/>
        <w:t>36.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koktel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party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za 200 osoba(povodom proslave dana škole)</w:t>
      </w:r>
    </w:p>
    <w:p w:rsidR="00B11386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37.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bogate koktel </w:t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party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 za 70 osoba kod naručitelja </w:t>
      </w:r>
    </w:p>
    <w:p w:rsidR="009E78F3" w:rsidRPr="00C7160D" w:rsidRDefault="00B11386" w:rsidP="00B11386">
      <w:pPr>
        <w:spacing w:line="276" w:lineRule="auto"/>
        <w:ind w:firstLine="708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(povodom   </w:t>
      </w:r>
      <w:bookmarkStart w:id="0" w:name="_GoBack"/>
      <w:bookmarkEnd w:id="0"/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promocije rođendana)</w:t>
      </w:r>
    </w:p>
    <w:p w:rsidR="009E78F3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38.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Pripremni radovi za posluživanje hladno toplog bifea  (kod naručitelja - za 180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39.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hladno toplog bifea za 220 osoba  </w:t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(povodom vjenčanja - u vlastitom   prostoru)</w:t>
      </w:r>
    </w:p>
    <w:p w:rsidR="009E78F3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40.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hladno toplog bifea povodom vjenčanja za 80 osoba  </w:t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(kod naručitelja)</w:t>
      </w:r>
    </w:p>
    <w:p w:rsidR="009E78F3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41.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 xml:space="preserve">Organizacija i posluživanje hladno toplog bifea za 40 osoba </w:t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(povodom proslave rođendana)</w:t>
      </w:r>
    </w:p>
    <w:p w:rsidR="00D10879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42.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Organizacija i posluživanje svečane svadbene večere za 110 osoba (pod šatorom)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43.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obiteljskog ručka za 20 osoba (povodom Božića)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44.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ručka povodom Svete potvrde - krizme (za 35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45.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svečane novogodišnje večere (za 250 osoba)</w:t>
      </w:r>
    </w:p>
    <w:p w:rsidR="009E78F3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46.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Organizacija i posluživanje svečane večere povodom dolaska strane delegacija   (za 40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47.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Uskrsnog ručka  (za 45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48.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dalmatinske večere (za 70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49.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i posluživanje maturalne večere ( za 120 osoba)</w:t>
      </w:r>
    </w:p>
    <w:p w:rsidR="00D10879" w:rsidRPr="00C7160D" w:rsidRDefault="002A28E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50.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r w:rsidR="009E78F3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Posluživanje vegetarijanskog ručka (za 30 osoba)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51.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Organizacija piknika (za 200 osoba )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52.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Posluživanje večere za 20 osoba u ribljem restoranu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53.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  <w:t>Priprema tatarskog bifteka</w:t>
      </w:r>
    </w:p>
    <w:p w:rsidR="00D10879" w:rsidRPr="00C7160D" w:rsidRDefault="00C27F33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54.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slatkih jela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</w:t>
      </w:r>
      <w:r w:rsidR="009C5D3B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Flambiranje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jela  od  mesa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5</w:t>
      </w:r>
      <w:r w:rsidR="009C5D3B"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6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.</w:t>
      </w: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ab/>
      </w:r>
      <w:proofErr w:type="spellStart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Filiranje</w:t>
      </w:r>
      <w:proofErr w:type="spellEnd"/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 xml:space="preserve"> ribe</w:t>
      </w:r>
    </w:p>
    <w:p w:rsidR="00D10879" w:rsidRPr="00C7160D" w:rsidRDefault="00D10879" w:rsidP="00B11386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val="hr-HR"/>
        </w:rPr>
      </w:pPr>
    </w:p>
    <w:p w:rsidR="00D10879" w:rsidRPr="00C7160D" w:rsidRDefault="00D10879" w:rsidP="00B11386">
      <w:pPr>
        <w:spacing w:line="276" w:lineRule="auto"/>
        <w:ind w:left="2124" w:firstLine="708"/>
        <w:rPr>
          <w:rFonts w:asciiTheme="majorHAnsi" w:eastAsiaTheme="minorHAnsi" w:hAnsiTheme="majorHAnsi" w:cstheme="minorBidi"/>
          <w:sz w:val="20"/>
          <w:szCs w:val="20"/>
          <w:lang w:val="hr-HR"/>
        </w:rPr>
      </w:pPr>
      <w:r w:rsidRPr="00C7160D">
        <w:rPr>
          <w:rFonts w:asciiTheme="majorHAnsi" w:eastAsiaTheme="minorHAnsi" w:hAnsiTheme="majorHAnsi" w:cstheme="minorBidi"/>
          <w:sz w:val="20"/>
          <w:szCs w:val="20"/>
          <w:lang w:val="hr-HR"/>
        </w:rPr>
        <w:t>Voditelj stručnog Vijeća:  Zoran  Zelić,  str.uč.ug.posluž.</w:t>
      </w:r>
    </w:p>
    <w:p w:rsidR="00B11386" w:rsidRPr="00C7160D" w:rsidRDefault="00B11386" w:rsidP="00B11386">
      <w:pPr>
        <w:spacing w:line="276" w:lineRule="auto"/>
        <w:ind w:left="2124" w:firstLine="708"/>
        <w:rPr>
          <w:rFonts w:asciiTheme="majorHAnsi" w:eastAsiaTheme="minorHAnsi" w:hAnsiTheme="majorHAnsi" w:cstheme="minorBidi"/>
          <w:sz w:val="20"/>
          <w:szCs w:val="20"/>
          <w:lang w:val="hr-HR"/>
        </w:rPr>
      </w:pPr>
    </w:p>
    <w:sectPr w:rsidR="00B11386" w:rsidRPr="00C7160D" w:rsidSect="0003300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E"/>
    <w:rsid w:val="001B5AF0"/>
    <w:rsid w:val="002A28E9"/>
    <w:rsid w:val="005D1345"/>
    <w:rsid w:val="007B4D0B"/>
    <w:rsid w:val="00967F4E"/>
    <w:rsid w:val="009C5D3B"/>
    <w:rsid w:val="009E78F3"/>
    <w:rsid w:val="00B11386"/>
    <w:rsid w:val="00C27F33"/>
    <w:rsid w:val="00C7160D"/>
    <w:rsid w:val="00D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zelić</dc:creator>
  <cp:lastModifiedBy>zoran zelić</cp:lastModifiedBy>
  <cp:revision>4</cp:revision>
  <dcterms:created xsi:type="dcterms:W3CDTF">2018-10-10T21:46:00Z</dcterms:created>
  <dcterms:modified xsi:type="dcterms:W3CDTF">2018-10-11T06:11:00Z</dcterms:modified>
</cp:coreProperties>
</file>